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31" w:rsidRPr="00A04F31" w:rsidRDefault="00A04F31" w:rsidP="00A04F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0" w:name="_GoBack"/>
      <w:bookmarkEnd w:id="0"/>
      <w:r w:rsidRPr="00A04F3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OBRAZAC 20. Evidencija o provedbi Mjere 11, </w:t>
      </w:r>
      <w:proofErr w:type="spellStart"/>
      <w:r w:rsidRPr="00A04F3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podmjera</w:t>
      </w:r>
      <w:proofErr w:type="spellEnd"/>
      <w:r w:rsidRPr="00A04F3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 11.1.Plaćanja za prijelaz na ekološke poljoprivredne prakse i metode (EKOP) i</w:t>
      </w:r>
      <w:r w:rsidRPr="00A04F3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br/>
        <w:t>Intervencije 70.04., operacija Prijelaz na ekološki uzgoj</w:t>
      </w:r>
    </w:p>
    <w:p w:rsidR="00A04F31" w:rsidRPr="00A04F31" w:rsidRDefault="00A04F31" w:rsidP="00A04F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04F31" w:rsidRPr="00A04F31" w:rsidTr="00546A9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EVIDENCIJA O PROVEDBI OBVEZA ZA PODMJERU</w:t>
            </w:r>
          </w:p>
          <w:p w:rsidR="00A04F31" w:rsidRPr="00A04F31" w:rsidRDefault="00A04F31" w:rsidP="00A04F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11.1. Plaćanja za prijelaz na ekološke poljoprivredne prakse i metode (EKOP) i operaciju Prijelaz na ekološki uzgoj</w:t>
            </w:r>
          </w:p>
        </w:tc>
      </w:tr>
    </w:tbl>
    <w:p w:rsidR="00A04F31" w:rsidRPr="00A04F31" w:rsidRDefault="00A04F31" w:rsidP="00A04F3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A04F31">
        <w:rPr>
          <w:rFonts w:ascii="Minion Pro" w:eastAsia="Times New Roman" w:hAnsi="Minion Pro" w:cs="Times New Roman"/>
          <w:sz w:val="24"/>
          <w:szCs w:val="24"/>
          <w:lang w:eastAsia="hr-HR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2164"/>
        <w:gridCol w:w="2485"/>
        <w:gridCol w:w="1251"/>
      </w:tblGrid>
      <w:tr w:rsidR="00A04F31" w:rsidRPr="00A04F31" w:rsidTr="00546A98">
        <w:trPr>
          <w:trHeight w:val="38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DIO – OPĆI PODACI ZA PODMJERU 11.1. Plaćanja za prijelaz na ekološke poljoprivredne prakse i metode (EKOP) i operaciju Prijelaz na ekološki uzgoj</w:t>
            </w:r>
          </w:p>
        </w:tc>
      </w:tr>
      <w:tr w:rsidR="00A04F31" w:rsidRPr="00A04F31" w:rsidTr="00546A98">
        <w:trPr>
          <w:trHeight w:val="185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PG I ODGOVORNE OSOBE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4F31" w:rsidRPr="00A04F31" w:rsidTr="00546A98">
        <w:trPr>
          <w:trHeight w:val="197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OIB: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MIBPG:</w:t>
            </w:r>
          </w:p>
        </w:tc>
      </w:tr>
      <w:tr w:rsidR="00A04F31" w:rsidRPr="00A04F31" w:rsidTr="00546A98">
        <w:trPr>
          <w:trHeight w:val="185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SJEDIŠTE PG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4F31" w:rsidRPr="00A04F31" w:rsidTr="00546A98">
        <w:trPr>
          <w:trHeight w:val="383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 ULASKA U SUSTAV POTPORE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 ZA KOJU SE VODI EVIDENCIJA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</w:tbl>
    <w:p w:rsidR="00A04F31" w:rsidRPr="00A04F31" w:rsidRDefault="00A04F31" w:rsidP="00A04F3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A04F31">
        <w:rPr>
          <w:rFonts w:ascii="Minion Pro" w:eastAsia="Times New Roman" w:hAnsi="Minion Pro" w:cs="Times New Roman"/>
          <w:sz w:val="24"/>
          <w:szCs w:val="24"/>
          <w:lang w:eastAsia="hr-HR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980"/>
        <w:gridCol w:w="1980"/>
        <w:gridCol w:w="1980"/>
        <w:gridCol w:w="2582"/>
      </w:tblGrid>
      <w:tr w:rsidR="00A04F31" w:rsidRPr="00A04F31" w:rsidTr="00546A98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DIO – POPIS ARKOD PARCELA ZA PODMJERU 11.1. Plaćanja za prijelaz na ekološke poljoprivredne prakse i metode (EKOP) i operaciju Prijelaz na ekološki uzgoj</w:t>
            </w:r>
          </w:p>
        </w:tc>
      </w:tr>
      <w:tr w:rsidR="00A04F31" w:rsidRPr="00A04F31" w:rsidTr="00546A98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r.b</w:t>
            </w:r>
            <w:proofErr w:type="spellEnd"/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domaće ime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</w:tr>
      <w:tr w:rsidR="00A04F31" w:rsidRPr="00A04F31" w:rsidTr="00546A98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A04F31" w:rsidRPr="00A04F31" w:rsidRDefault="00A04F31" w:rsidP="00A04F3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065"/>
        <w:gridCol w:w="1101"/>
        <w:gridCol w:w="1474"/>
        <w:gridCol w:w="984"/>
        <w:gridCol w:w="1237"/>
        <w:gridCol w:w="27"/>
        <w:gridCol w:w="1012"/>
      </w:tblGrid>
      <w:tr w:rsidR="00A04F31" w:rsidRPr="00A04F31" w:rsidTr="00546A98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DIO – PROVEDENE OBVEZE ZA PODMJERU 11.1. Plaćanja za prijelaz na ekološke poljoprivredne prakse i metode (EKOP) i operaciju Prijelaz na ekološki uzgoj</w:t>
            </w:r>
          </w:p>
        </w:tc>
      </w:tr>
      <w:tr w:rsidR="00A04F31" w:rsidRPr="00A04F31" w:rsidTr="00546A98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Gnojidba (evidentirati svaku primjenu gnojiva)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  <w:tc>
          <w:tcPr>
            <w:tcW w:w="1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gnojiva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količina gnojiva</w:t>
            </w:r>
          </w:p>
          <w:p w:rsidR="00A04F31" w:rsidRPr="00A04F31" w:rsidRDefault="00A04F31" w:rsidP="00A04F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(kg/ha ili l/ha)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napomena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Uporaba sredstva za zaštitu bilja (evidentirati svaku primjenu sredstava za zaštitu bilja)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početka i završetka tretiranja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količina primijenjenog SZB doza (kg/ha ili l/ha)ili koncentracija (%)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sredstvo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razlog korištenja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napomena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Agrotehničke mjere (evidentirati primjenu svake agrotehničke mjere kronološkim redom)</w:t>
            </w:r>
          </w:p>
        </w:tc>
      </w:tr>
      <w:tr w:rsidR="00A04F31" w:rsidRPr="00A04F31" w:rsidTr="00546A98">
        <w:tc>
          <w:tcPr>
            <w:tcW w:w="17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kultura</w:t>
            </w:r>
          </w:p>
        </w:tc>
        <w:tc>
          <w:tcPr>
            <w:tcW w:w="13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mjera/zahvat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</w:t>
            </w:r>
          </w:p>
        </w:tc>
      </w:tr>
      <w:tr w:rsidR="00A04F31" w:rsidRPr="00A04F31" w:rsidTr="00546A98">
        <w:tc>
          <w:tcPr>
            <w:tcW w:w="17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3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7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3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7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3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Obveza držanja stoke na trajnom travnjaku: najmanje 0,5 UG/ha (najmanje 1 govedo/kopitar na 2 hektara ili 3 ovce/koze po hektaru travnjaka), osim na krškim pašnjacima 0,3 UG/ha (najmanje 1 govedo/kopitar na 3 hektara ili 2 ovce/koze po hektaru travnjaka). Prihvatljive životinje su goveda, kopitari, ovce i koze; životinje se moraju uzgajati u skladu s Uredbom Europskog parlamenta i Vijeća (EU) 2018/848, Provedbenom uredbom Komisije (EU) 2020/464 i Provedbenom uredbom Komisije (EU) 2021/1165.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ARKOD ID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domaće ime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stoke koja se drži na parceli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vrste stoke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koliko UG</w:t>
            </w:r>
          </w:p>
        </w:tc>
        <w:tc>
          <w:tcPr>
            <w:tcW w:w="11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vremenski period držanja stoke na površini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A04F31" w:rsidRPr="00A04F31" w:rsidTr="00546A98"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11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04F31" w:rsidRPr="00A04F31" w:rsidRDefault="00A04F31" w:rsidP="00A04F31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A04F3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A04F31" w:rsidRPr="00A04F31" w:rsidRDefault="00A04F31" w:rsidP="00A04F3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A04F31" w:rsidRPr="00A04F31" w:rsidRDefault="00A04F31" w:rsidP="00A04F31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:rsidR="00293E72" w:rsidRDefault="00293E72"/>
    <w:sectPr w:rsidR="0029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31"/>
    <w:rsid w:val="00293E72"/>
    <w:rsid w:val="00A04F31"/>
    <w:rsid w:val="00B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587D8-CBF1-4B83-96E4-62F624BB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Miljković</dc:creator>
  <cp:keywords/>
  <dc:description/>
  <cp:lastModifiedBy>Korisnik</cp:lastModifiedBy>
  <cp:revision>2</cp:revision>
  <dcterms:created xsi:type="dcterms:W3CDTF">2024-04-03T10:34:00Z</dcterms:created>
  <dcterms:modified xsi:type="dcterms:W3CDTF">2024-04-03T10:34:00Z</dcterms:modified>
</cp:coreProperties>
</file>